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bookmarkStart w:id="0" w:name="_GoBack"/>
      <w:r w:rsidRPr="00510D86">
        <w:rPr>
          <w:rFonts w:ascii="inherit" w:eastAsia="Times New Roman" w:hAnsi="inherit" w:cs="Arial"/>
          <w:b/>
          <w:bCs/>
          <w:sz w:val="24"/>
          <w:szCs w:val="24"/>
          <w:lang w:eastAsia="ru-RU"/>
        </w:rPr>
        <w:t>МИНИСТЕРСТВО ТРУДА И СОЦИАЛЬНОЙ ЗАЩИТЫ РОССИЙСКОЙ ФЕДЕРАЦИИ</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ПРИКАЗ</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от 30 октября 2018 г. N 675н</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ОБ УТВЕРЖДЕНИИ МЕТОДИКИ</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ВЫЯВЛЕНИЯ И ОБОБЩЕНИЯ МНЕНИЯ ГРАЖДАН О КАЧЕСТВЕ</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УСЛОВИЙ ОКАЗАНИЯ УСЛУГ ОРГАНИЗАЦИЯМИ В СФЕРЕ КУЛЬТУРЫ,</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ОХРАНЫ ЗДОРОВЬЯ, ОБРАЗОВАНИЯ, СОЦИАЛЬНОГО ОБСЛУЖИВАНИЯ</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И ФЕДЕРАЛЬНЫМИ УЧРЕЖДЕНИЯМИ МЕДИКО-СОЦИАЛЬНОЙ ЭКСПЕРТИЗЫ</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В соответствии с подпунктом "г" пункта 4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Российской Федерации от 31 мая 2018 г. N </w:t>
      </w:r>
      <w:hyperlink r:id="rId6" w:history="1">
        <w:r w:rsidRPr="00510D86">
          <w:rPr>
            <w:rFonts w:ascii="inherit" w:eastAsia="Times New Roman" w:hAnsi="inherit" w:cs="Arial"/>
            <w:sz w:val="24"/>
            <w:szCs w:val="24"/>
            <w:bdr w:val="none" w:sz="0" w:space="0" w:color="auto" w:frame="1"/>
            <w:lang w:eastAsia="ru-RU"/>
          </w:rPr>
          <w:t>638</w:t>
        </w:r>
      </w:hyperlink>
      <w:r w:rsidRPr="00510D86">
        <w:rPr>
          <w:rFonts w:ascii="inherit" w:eastAsia="Times New Roman" w:hAnsi="inherit" w:cs="Arial"/>
          <w:sz w:val="24"/>
          <w:szCs w:val="24"/>
          <w:lang w:eastAsia="ru-RU"/>
        </w:rPr>
        <w:t> (Собрание законодательства Российской Федерации, 2018, N 24, ст. 3527), приказываю:</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Утвердить прилагаемую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Министр</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М.А.ТОПИЛИН</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Утверждена</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приказом Минтруда России</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от 30 октября 2018 г. N 675н</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МЕТОДИКА</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ВЫЯВЛЕНИЯ И ОБОБЩЕНИЯ МНЕНИЯ ГРАЖДАН О КАЧЕСТВЕ</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УСЛОВИЙ ОКАЗАНИЯ УСЛУГ ОРГАНИЗАЦИЯМИ В СФЕРЕ КУЛЬТУРЫ,</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ОХРАНЫ ЗДОРОВЬЯ, ОБРАЗОВАНИЯ, СОЦИАЛЬНОГО ОБСЛУЖИВАНИЯ</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И ФЕДЕРАЛЬНЫМИ УЧРЕЖДЕНИЯМИ МЕДИКО-СОЦИАЛЬНОЙ ЭКСПЕРТИЗЫ</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соответственно - организации социальной сферы, Методика) разработана в целях определения удовлетворенности граждан, являющихся получателями услуг, оказываемых организациями социальной сферы (далее - получатели услуг), условиями оказания услуг указанными организациями.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2. В качестве основного метода выявления мнения получателей услуг применяется их опрос, который осуществляется в следующих формах:</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lastRenderedPageBreak/>
        <w:t>1) анкетирование получателей услуг (в том числе онлайн анкетирование - по анкете, размещенной в информационно-телекоммуникационной сети "Интернет" на официальном сайте организации социальной сферы (далее - официальный сайт организации социальной сферы), в отношении которой проводится независимая оценка качества условий оказания услуг (далее - независимая оценка качества), а также федерального органа исполнительной власти, органа исполнительной власти субъекта Российской Федерации, органа местного самоуправления);</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2) интервьюирование получателей услуг;</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3) телефонный опрос получателей услуг.</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3. 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(далее - объем генеральной совокупности), предшествующего году проведения независимой оценки качества. В случае, если информация об общей численности получателей услуг не размещена на официальном сайте организации социальной сферы, она предоставляется организатору опроса получателей услуг соответствующим уполномоченным федеральным органом исполнительной власти, органами исполнительной власти субъектов Российской Федерации, органами местного самоуправления в соответствии с государственной и ведомственной статистической отчетностью (итоговые или предварительные данные).</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4.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5. Выявление и обобщение мнения получателей услуг рекомендуется проводить в год проведения независимой оценки качества по анкете для опроса получателей услуг о качестве условий оказания услуг организациями социальной сферы (далее - Анкета). Рекомендуемый образец Анкеты предусмотрен приложением к Методике.</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В Анкету могут вноситься изменения, направленные на конкретизацию и (или) дополнение ранее сформулированных вопросов, необходимые для обеспечения достижения цели выявления и обобщения мнения получателей услуг.</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6. Выявление мнения получателей услуг проводится в соответствии с показателями, характеризующими общие критерии оценки качества условий оказания услуг организациями социальной сферы, утвержденными нормативными правовыми актами уполномоченных федеральных органов исполнительной власти в установленной сфере деятельности "1", порядок расчета которых установлен приказом Министерства труда и социальной защиты Российской Федерации от 31 мая 2018 г. N </w:t>
      </w:r>
      <w:hyperlink r:id="rId7" w:history="1">
        <w:r w:rsidRPr="00510D86">
          <w:rPr>
            <w:rFonts w:ascii="inherit" w:eastAsia="Times New Roman" w:hAnsi="inherit" w:cs="Arial"/>
            <w:sz w:val="24"/>
            <w:szCs w:val="24"/>
            <w:bdr w:val="none" w:sz="0" w:space="0" w:color="auto" w:frame="1"/>
            <w:lang w:eastAsia="ru-RU"/>
          </w:rPr>
          <w:t>344н</w:t>
        </w:r>
      </w:hyperlink>
      <w:r w:rsidRPr="00510D86">
        <w:rPr>
          <w:rFonts w:ascii="inherit" w:eastAsia="Times New Roman" w:hAnsi="inherit" w:cs="Arial"/>
          <w:sz w:val="24"/>
          <w:szCs w:val="24"/>
          <w:lang w:eastAsia="ru-RU"/>
        </w:rPr>
        <w:t>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Министерством юстиции Российской Федерации 11 октября 2018 г., регистрационный N 52409).</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lastRenderedPageBreak/>
        <w:t>--------------------------------</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 Приказ Министерства культуры Российской Федерации от 27 апреля 2018 г. N </w:t>
      </w:r>
      <w:hyperlink r:id="rId8" w:history="1">
        <w:r w:rsidRPr="00510D86">
          <w:rPr>
            <w:rFonts w:ascii="inherit" w:eastAsia="Times New Roman" w:hAnsi="inherit" w:cs="Arial"/>
            <w:sz w:val="24"/>
            <w:szCs w:val="24"/>
            <w:bdr w:val="none" w:sz="0" w:space="0" w:color="auto" w:frame="1"/>
            <w:lang w:eastAsia="ru-RU"/>
          </w:rPr>
          <w:t>599</w:t>
        </w:r>
      </w:hyperlink>
      <w:r w:rsidRPr="00510D86">
        <w:rPr>
          <w:rFonts w:ascii="inherit" w:eastAsia="Times New Roman" w:hAnsi="inherit" w:cs="Arial"/>
          <w:sz w:val="24"/>
          <w:szCs w:val="24"/>
          <w:lang w:eastAsia="ru-RU"/>
        </w:rPr>
        <w:t> "Об утверждении показателей, характеризующих общие критерии оценки качества условий оказания услуг организациями культуры (зарегистрирован Министерством юстиции Российской Федерации 18 мая 2018 г., регистрационный N 51132); приказ Министерства здравоохранения Российской Федерации от 4 мая 2018 г. N </w:t>
      </w:r>
      <w:hyperlink r:id="rId9" w:history="1">
        <w:r w:rsidRPr="00510D86">
          <w:rPr>
            <w:rFonts w:ascii="inherit" w:eastAsia="Times New Roman" w:hAnsi="inherit" w:cs="Arial"/>
            <w:sz w:val="24"/>
            <w:szCs w:val="24"/>
            <w:bdr w:val="none" w:sz="0" w:space="0" w:color="auto" w:frame="1"/>
            <w:lang w:eastAsia="ru-RU"/>
          </w:rPr>
          <w:t>201н</w:t>
        </w:r>
      </w:hyperlink>
      <w:r w:rsidRPr="00510D86">
        <w:rPr>
          <w:rFonts w:ascii="inherit" w:eastAsia="Times New Roman" w:hAnsi="inherit" w:cs="Arial"/>
          <w:sz w:val="24"/>
          <w:szCs w:val="24"/>
          <w:lang w:eastAsia="ru-RU"/>
        </w:rPr>
        <w:t>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 (зарегистрирован Министерством юстиции Российской Федерации 23 мая 2018 г., регистрационный N 51156); приказ Министерства образования и науки Российской Федерации от 5 декабря 2014 г. N </w:t>
      </w:r>
      <w:hyperlink r:id="rId10" w:history="1">
        <w:r w:rsidRPr="00510D86">
          <w:rPr>
            <w:rFonts w:ascii="inherit" w:eastAsia="Times New Roman" w:hAnsi="inherit" w:cs="Arial"/>
            <w:sz w:val="24"/>
            <w:szCs w:val="24"/>
            <w:bdr w:val="none" w:sz="0" w:space="0" w:color="auto" w:frame="1"/>
            <w:lang w:eastAsia="ru-RU"/>
          </w:rPr>
          <w:t>1547</w:t>
        </w:r>
      </w:hyperlink>
      <w:r w:rsidRPr="00510D86">
        <w:rPr>
          <w:rFonts w:ascii="inherit" w:eastAsia="Times New Roman" w:hAnsi="inherit" w:cs="Arial"/>
          <w:sz w:val="24"/>
          <w:szCs w:val="24"/>
          <w:lang w:eastAsia="ru-RU"/>
        </w:rPr>
        <w:t>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(зарегистрирован Министерством юстиции Российской Федерации 2 февраля 2015 г., регистрационный N 35837); приказ Министерства труда и социальной защиты Российской Федерации от 23 мая 2018 г. N </w:t>
      </w:r>
      <w:hyperlink r:id="rId11" w:history="1">
        <w:r w:rsidRPr="00510D86">
          <w:rPr>
            <w:rFonts w:ascii="inherit" w:eastAsia="Times New Roman" w:hAnsi="inherit" w:cs="Arial"/>
            <w:sz w:val="24"/>
            <w:szCs w:val="24"/>
            <w:bdr w:val="none" w:sz="0" w:space="0" w:color="auto" w:frame="1"/>
            <w:lang w:eastAsia="ru-RU"/>
          </w:rPr>
          <w:t>317н</w:t>
        </w:r>
      </w:hyperlink>
      <w:r w:rsidRPr="00510D86">
        <w:rPr>
          <w:rFonts w:ascii="inherit" w:eastAsia="Times New Roman" w:hAnsi="inherit" w:cs="Arial"/>
          <w:sz w:val="24"/>
          <w:szCs w:val="24"/>
          <w:lang w:eastAsia="ru-RU"/>
        </w:rPr>
        <w:t>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(зарегистрирован Министерством юстиции Российской Федерации 14 июня 2018 г., регистрационный N 51346).</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7. Удовлетворенность получателей услуг условиями оказания услуг организациями социальной сферы определяется по положительным ответам респондентов на вопросы об удовлетворенности условиями оказания услуг, содержащиеся в Анкете.</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8. По итогам обобщения данных, полученных в ходе опроса получателей услуг, формируются предложения по улучшению качества условий оказания услуг по каждой организации социальной сферы, в отношении которой проводится независимая оценка качества.</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Приложение</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к Методике выявления и обобщения</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мнения граждан о качестве</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условий оказания услуг</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организациями в сфере культуры,</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охраны здоровья, образования,</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социального обслуживания</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и федеральными учреждениями</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медико-социальной экспертизы,</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утвержденной приказом</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Минтруда России</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от 30 октября 2018 г. N 675н</w:t>
      </w:r>
    </w:p>
    <w:p w:rsidR="00A331FB" w:rsidRPr="00510D86" w:rsidRDefault="00A331FB" w:rsidP="00A331FB">
      <w:pPr>
        <w:shd w:val="clear" w:color="auto" w:fill="FFFFFF"/>
        <w:spacing w:after="0" w:line="360" w:lineRule="atLeast"/>
        <w:jc w:val="right"/>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Рекомендуемый образец</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Анкета</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lastRenderedPageBreak/>
        <w:t>для опроса получателей услуг о качестве условий оказания</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услуг организациями социальной сферы</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Уважаемый участник опроса!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Опрос проводится в целях выявления мнения граждан о качестве условий оказания услуг организациями социальной сферы (школы, театры, музеи, культурно-досуговые центры, больницы, поликлиники, организации социального обслуживания, детские сады, бюро медико-социальной экспертизы и прочие организации).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Опрос проводится анонимно. Ваши фамилия, имя, отчество, контактные телефоны указывать необязательно.</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Конфиденциальность высказанного Вами мнения о качестве условий оказания услуг организациями социальной сферы гарантируется.</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 При посещении организации обращались ли Вы к информации о ее деятельности, размещенной на информационных стендах в помещениях организации?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 (переход к вопросу 3)</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3. Пользовались ли Вы официальным сайтом организации, чтобы получить информацию о ее деятельности?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 (переход к вопросу 5)</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5. Своевременно ли Вам была предоставлена услуга в организации, в которую Вы обратились (в соответствии со временем записи на прием к специалисту (консультацию), с датой госпитализации (диагностического исследования), со сроками, установленными индивидуальной программой предоставления социальных услуг, и прочее)? "1"</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 Для получателей услуг организаций в сфере охраны здоровья, социального обслуживания и федеральных учреждений медико-социальной экспертизы.</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 (услуга предоставлена своевременно или ранее установленного срока)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 (услуга предоставлена с опозданием)</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lastRenderedPageBreak/>
        <w:t>6.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организации) и прочие условия)?</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7. Имеете ли Вы (или лицо, представителем которого Вы являетесь) установленную группу инвалидности?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 (переход к вопросу 9)</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8. Удовлетворены ли Вы доступностью предоставления услуг для инвалидов в организации?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9.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регистратуры, справочной, приемного отделения, кассы, приемной комиссии и прочие работники)?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10.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11. 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 (переход к вопросу 13)</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lastRenderedPageBreak/>
        <w:t>12. Удовлетворены ли Вы доброжелательностью и вежливостью работников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14. Удовлетворены ли Вы организационными условиями предоставления услуг (графиком работы организации (подразделения, отдельных специалистов, периодичностью прихода социального работника на дом и прочие); навигацией внутри организации (наличие информационных табличек, указателей, сигнальных табло, инфоматов и прочее)?</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15. Удовлетворены ли Вы в целом условиями оказания услуг в организации?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Да</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Нет</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16. Ваши предложения по улучшению условий оказания услуг в данной организации:</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__________________________________________________</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__________________________________________________</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Сообщите, пожалуйста, некоторые сведения о себе:</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17. Ваш пол</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Мужской</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Женский</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18. Ваш возраст __________ (укажите сколько Вам полных лет)</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Благодарим Вас за участие в опросе!</w:t>
      </w:r>
    </w:p>
    <w:p w:rsidR="00A331FB" w:rsidRPr="00510D86" w:rsidRDefault="00A331FB" w:rsidP="00A331FB">
      <w:pPr>
        <w:shd w:val="clear" w:color="auto" w:fill="FFFFFF"/>
        <w:spacing w:after="0" w:line="360" w:lineRule="atLeast"/>
        <w:jc w:val="center"/>
        <w:textAlignment w:val="baseline"/>
        <w:rPr>
          <w:rFonts w:ascii="inherit" w:eastAsia="Times New Roman" w:hAnsi="inherit" w:cs="Arial"/>
          <w:b/>
          <w:bCs/>
          <w:sz w:val="24"/>
          <w:szCs w:val="24"/>
          <w:lang w:eastAsia="ru-RU"/>
        </w:rPr>
      </w:pPr>
      <w:r w:rsidRPr="00510D86">
        <w:rPr>
          <w:rFonts w:ascii="inherit" w:eastAsia="Times New Roman" w:hAnsi="inherit" w:cs="Arial"/>
          <w:b/>
          <w:bCs/>
          <w:sz w:val="24"/>
          <w:szCs w:val="24"/>
          <w:lang w:eastAsia="ru-RU"/>
        </w:rPr>
        <w:t>Заполняется организатором опроса или анкетером.</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1. Название населенного пункта, в котором проведен опрос (напишите)</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__________________________________________________</w:t>
      </w:r>
    </w:p>
    <w:p w:rsidR="00A331FB"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2. Полное название организации социальной сферы, в которой проведен опрос получателей услуг (напишите)</w:t>
      </w:r>
    </w:p>
    <w:p w:rsidR="00DB18F7" w:rsidRPr="00510D86" w:rsidRDefault="00A331FB" w:rsidP="00A331FB">
      <w:pPr>
        <w:shd w:val="clear" w:color="auto" w:fill="FFFFFF"/>
        <w:spacing w:after="0" w:line="360" w:lineRule="atLeast"/>
        <w:jc w:val="both"/>
        <w:textAlignment w:val="baseline"/>
        <w:rPr>
          <w:rFonts w:ascii="inherit" w:eastAsia="Times New Roman" w:hAnsi="inherit" w:cs="Arial"/>
          <w:sz w:val="24"/>
          <w:szCs w:val="24"/>
          <w:lang w:eastAsia="ru-RU"/>
        </w:rPr>
      </w:pPr>
      <w:r w:rsidRPr="00510D86">
        <w:rPr>
          <w:rFonts w:ascii="inherit" w:eastAsia="Times New Roman" w:hAnsi="inherit" w:cs="Arial"/>
          <w:sz w:val="24"/>
          <w:szCs w:val="24"/>
          <w:lang w:eastAsia="ru-RU"/>
        </w:rPr>
        <w:t>__________________________________________________</w:t>
      </w:r>
      <w:bookmarkEnd w:id="0"/>
    </w:p>
    <w:sectPr w:rsidR="00DB18F7" w:rsidRPr="00510D86" w:rsidSect="002E1C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75EBF"/>
    <w:multiLevelType w:val="multilevel"/>
    <w:tmpl w:val="FE44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A331FB"/>
    <w:rsid w:val="002E1CD2"/>
    <w:rsid w:val="00510D86"/>
    <w:rsid w:val="00A331FB"/>
    <w:rsid w:val="00DB18F7"/>
    <w:rsid w:val="00DE5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A331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A331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31FB"/>
  </w:style>
  <w:style w:type="character" w:styleId="a3">
    <w:name w:val="Hyperlink"/>
    <w:basedOn w:val="a0"/>
    <w:uiPriority w:val="99"/>
    <w:semiHidden/>
    <w:unhideWhenUsed/>
    <w:rsid w:val="00A331FB"/>
    <w:rPr>
      <w:color w:val="0000FF"/>
      <w:u w:val="single"/>
    </w:rPr>
  </w:style>
  <w:style w:type="paragraph" w:customStyle="1" w:styleId="pr">
    <w:name w:val="pr"/>
    <w:basedOn w:val="a"/>
    <w:rsid w:val="00A331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A331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A331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31FB"/>
  </w:style>
  <w:style w:type="character" w:styleId="a3">
    <w:name w:val="Hyperlink"/>
    <w:basedOn w:val="a0"/>
    <w:uiPriority w:val="99"/>
    <w:semiHidden/>
    <w:unhideWhenUsed/>
    <w:rsid w:val="00A331FB"/>
    <w:rPr>
      <w:color w:val="0000FF"/>
      <w:u w:val="single"/>
    </w:rPr>
  </w:style>
  <w:style w:type="paragraph" w:customStyle="1" w:styleId="pr">
    <w:name w:val="pr"/>
    <w:basedOn w:val="a"/>
    <w:rsid w:val="00A331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1120849">
      <w:bodyDiv w:val="1"/>
      <w:marLeft w:val="0"/>
      <w:marRight w:val="0"/>
      <w:marTop w:val="0"/>
      <w:marBottom w:val="0"/>
      <w:divBdr>
        <w:top w:val="none" w:sz="0" w:space="0" w:color="auto"/>
        <w:left w:val="none" w:sz="0" w:space="0" w:color="auto"/>
        <w:bottom w:val="none" w:sz="0" w:space="0" w:color="auto"/>
        <w:right w:val="none" w:sz="0" w:space="0" w:color="auto"/>
      </w:divBdr>
      <w:divsChild>
        <w:div w:id="1979067253">
          <w:marLeft w:val="0"/>
          <w:marRight w:val="0"/>
          <w:marTop w:val="0"/>
          <w:marBottom w:val="0"/>
          <w:divBdr>
            <w:top w:val="none" w:sz="0" w:space="0" w:color="auto"/>
            <w:left w:val="none" w:sz="0" w:space="0" w:color="auto"/>
            <w:bottom w:val="none" w:sz="0" w:space="0" w:color="auto"/>
            <w:right w:val="none" w:sz="0" w:space="0" w:color="auto"/>
          </w:divBdr>
          <w:divsChild>
            <w:div w:id="1023477366">
              <w:marLeft w:val="0"/>
              <w:marRight w:val="0"/>
              <w:marTop w:val="0"/>
              <w:marBottom w:val="0"/>
              <w:divBdr>
                <w:top w:val="none" w:sz="0" w:space="0" w:color="auto"/>
                <w:left w:val="none" w:sz="0" w:space="0" w:color="auto"/>
                <w:bottom w:val="none" w:sz="0" w:space="0" w:color="auto"/>
                <w:right w:val="none" w:sz="0" w:space="0" w:color="auto"/>
              </w:divBdr>
              <w:divsChild>
                <w:div w:id="881555483">
                  <w:marLeft w:val="0"/>
                  <w:marRight w:val="0"/>
                  <w:marTop w:val="0"/>
                  <w:marBottom w:val="0"/>
                  <w:divBdr>
                    <w:top w:val="none" w:sz="0" w:space="0" w:color="auto"/>
                    <w:left w:val="none" w:sz="0" w:space="0" w:color="auto"/>
                    <w:bottom w:val="none" w:sz="0" w:space="0" w:color="auto"/>
                    <w:right w:val="none" w:sz="0" w:space="0" w:color="auto"/>
                  </w:divBdr>
                  <w:divsChild>
                    <w:div w:id="2031107378">
                      <w:marLeft w:val="0"/>
                      <w:marRight w:val="0"/>
                      <w:marTop w:val="0"/>
                      <w:marBottom w:val="0"/>
                      <w:divBdr>
                        <w:top w:val="none" w:sz="0" w:space="0" w:color="auto"/>
                        <w:left w:val="none" w:sz="0" w:space="0" w:color="auto"/>
                        <w:bottom w:val="none" w:sz="0" w:space="0" w:color="auto"/>
                        <w:right w:val="none" w:sz="0" w:space="0" w:color="auto"/>
                      </w:divBdr>
                      <w:divsChild>
                        <w:div w:id="14587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9811">
          <w:marLeft w:val="0"/>
          <w:marRight w:val="0"/>
          <w:marTop w:val="0"/>
          <w:marBottom w:val="0"/>
          <w:divBdr>
            <w:top w:val="none" w:sz="0" w:space="0" w:color="auto"/>
            <w:left w:val="none" w:sz="0" w:space="0" w:color="auto"/>
            <w:bottom w:val="none" w:sz="0" w:space="0" w:color="auto"/>
            <w:right w:val="none" w:sz="0" w:space="0" w:color="auto"/>
          </w:divBdr>
          <w:divsChild>
            <w:div w:id="69010022">
              <w:marLeft w:val="0"/>
              <w:marRight w:val="0"/>
              <w:marTop w:val="0"/>
              <w:marBottom w:val="0"/>
              <w:divBdr>
                <w:top w:val="none" w:sz="0" w:space="0" w:color="auto"/>
                <w:left w:val="none" w:sz="0" w:space="0" w:color="auto"/>
                <w:bottom w:val="none" w:sz="0" w:space="0" w:color="auto"/>
                <w:right w:val="none" w:sz="0" w:space="0" w:color="auto"/>
              </w:divBdr>
              <w:divsChild>
                <w:div w:id="12899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acts/Prikaz-FTS-Rossii-ot-27.04.2018-N-5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rulaws.ru/acts/Prikaz-Mintruda-Rossii-ot-31.05.2018-N-344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laws.ru/goverment/Postanovlenie-Pravitelstva-RF-ot-31.05.2018-N-638/" TargetMode="External"/><Relationship Id="rId11" Type="http://schemas.openxmlformats.org/officeDocument/2006/relationships/hyperlink" Target="http://rulaws.ru/acts/Prikaz-Mintruda-Rossii-ot-23.05.2018-N-317n/" TargetMode="External"/><Relationship Id="rId5" Type="http://schemas.openxmlformats.org/officeDocument/2006/relationships/webSettings" Target="webSettings.xml"/><Relationship Id="rId10" Type="http://schemas.openxmlformats.org/officeDocument/2006/relationships/hyperlink" Target="http://rulaws.ru/acts/Prikaz-Minobrnauki-Rossii-ot-05.12.2014-N-1547/" TargetMode="External"/><Relationship Id="rId4" Type="http://schemas.openxmlformats.org/officeDocument/2006/relationships/settings" Target="settings.xml"/><Relationship Id="rId9" Type="http://schemas.openxmlformats.org/officeDocument/2006/relationships/hyperlink" Target="http://rulaws.ru/acts/Prikaz-Minzdrava-Rossii-ot-04.05.2018-N-201n/"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72A04-CE6A-4D08-AA7B-6A1C5645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11280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Секретарь</cp:lastModifiedBy>
  <cp:revision>2</cp:revision>
  <dcterms:created xsi:type="dcterms:W3CDTF">2020-01-10T06:42:00Z</dcterms:created>
  <dcterms:modified xsi:type="dcterms:W3CDTF">2020-01-10T06:42:00Z</dcterms:modified>
</cp:coreProperties>
</file>